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3AAC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    </w:t>
      </w:r>
      <w:bookmarkStart w:id="0" w:name="_Hlk490118849"/>
    </w:p>
    <w:p w14:paraId="34EDC608" w14:textId="77777777" w:rsidR="00065224" w:rsidRPr="00DC6140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bidi="en-US"/>
        </w:rPr>
      </w:pPr>
      <w:r w:rsidRPr="00DC6140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Załącznik nr 1 do </w:t>
      </w:r>
    </w:p>
    <w:p w14:paraId="42E727EF" w14:textId="77777777" w:rsidR="008B4C72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bidi="en-US"/>
        </w:rPr>
      </w:pPr>
      <w:r w:rsidRPr="00DC6140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Uchwały Zarządu Stowarzyszenia LGD „ Razem na Piaskowcu” </w:t>
      </w:r>
    </w:p>
    <w:p w14:paraId="5660A049" w14:textId="1C63FCD5" w:rsidR="00065224" w:rsidRPr="00C478FB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bidi="en-US"/>
        </w:rPr>
      </w:pPr>
      <w:r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>nr</w:t>
      </w:r>
      <w:r w:rsidR="00475F09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  </w:t>
      </w:r>
      <w:r w:rsidR="008B4C72">
        <w:rPr>
          <w:rFonts w:ascii="Times New Roman" w:eastAsia="Times New Roman" w:hAnsi="Times New Roman" w:cs="Calibri"/>
          <w:sz w:val="18"/>
          <w:szCs w:val="18"/>
          <w:lang w:bidi="en-US"/>
        </w:rPr>
        <w:t>4</w:t>
      </w:r>
      <w:r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>/2</w:t>
      </w:r>
      <w:r w:rsidR="00A03BDB">
        <w:rPr>
          <w:rFonts w:ascii="Times New Roman" w:eastAsia="Times New Roman" w:hAnsi="Times New Roman" w:cs="Calibri"/>
          <w:sz w:val="18"/>
          <w:szCs w:val="18"/>
          <w:lang w:bidi="en-US"/>
        </w:rPr>
        <w:t>02</w:t>
      </w:r>
      <w:r w:rsidR="00475F09">
        <w:rPr>
          <w:rFonts w:ascii="Times New Roman" w:eastAsia="Times New Roman" w:hAnsi="Times New Roman" w:cs="Calibri"/>
          <w:sz w:val="18"/>
          <w:szCs w:val="18"/>
          <w:lang w:bidi="en-US"/>
        </w:rPr>
        <w:t>1</w:t>
      </w:r>
      <w:r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 z dnia </w:t>
      </w:r>
      <w:r w:rsidR="00475F09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 </w:t>
      </w:r>
      <w:r w:rsidR="008B4C72">
        <w:rPr>
          <w:rFonts w:ascii="Times New Roman" w:eastAsia="Times New Roman" w:hAnsi="Times New Roman" w:cs="Calibri"/>
          <w:sz w:val="18"/>
          <w:szCs w:val="18"/>
          <w:lang w:bidi="en-US"/>
        </w:rPr>
        <w:t>22.03.2021 r.</w:t>
      </w:r>
      <w:r w:rsidR="00CE759A"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 </w:t>
      </w:r>
    </w:p>
    <w:p w14:paraId="53F1F48C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</w:p>
    <w:p w14:paraId="3E962982" w14:textId="77777777" w:rsidR="00475F09" w:rsidRPr="00475F09" w:rsidRDefault="00475F09" w:rsidP="0047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Procedura wyboru i oceny operacji </w:t>
      </w:r>
    </w:p>
    <w:p w14:paraId="2E840790" w14:textId="43F7FE22" w:rsidR="00475F09" w:rsidRPr="00475F09" w:rsidRDefault="00475F09" w:rsidP="0047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ramach wdrażania Lokalnej Strategii Rozwoju na lata 201</w:t>
      </w:r>
      <w:r w:rsidR="002D6A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47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-202</w:t>
      </w:r>
      <w:r w:rsidR="002D6A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14:paraId="1A22F6D5" w14:textId="77777777" w:rsidR="00475F09" w:rsidRPr="00475F09" w:rsidRDefault="00475F09" w:rsidP="0047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podstawie§ 23 ust.2 lit. f) Statutu Stowarzyszenia, Rada Programowa Stowarzyszenia Rozwoju Wsi Świętokrzyskiej przyjmuje Procedurę wyboru i oceny operacji w ramach wdrażania Lokalnej Strategii Rozwoju na lata 2014-2020 przez LGD w następującym brzmieniu: </w:t>
      </w:r>
    </w:p>
    <w:p w14:paraId="4A6402D9" w14:textId="77777777" w:rsidR="00475F09" w:rsidRPr="00475F09" w:rsidRDefault="00475F09" w:rsidP="00475F09">
      <w:pPr>
        <w:tabs>
          <w:tab w:val="left" w:pos="-306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§ 1</w:t>
      </w:r>
    </w:p>
    <w:p w14:paraId="79CE24E2" w14:textId="01172F48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Użyte sformułowania i skróty w niniejszej </w:t>
      </w:r>
      <w:r w:rsidR="005A2738">
        <w:rPr>
          <w:rFonts w:ascii="Times New Roman" w:eastAsia="Times New Roman" w:hAnsi="Times New Roman" w:cs="Calibri"/>
          <w:sz w:val="24"/>
          <w:szCs w:val="24"/>
          <w:lang w:bidi="en-US"/>
        </w:rPr>
        <w:t>procedurze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oznaczają:</w:t>
      </w:r>
    </w:p>
    <w:p w14:paraId="7469DB13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Stowarzyszenie 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– Stowarzyszenie „Razem na Piaskowcu”</w:t>
      </w:r>
    </w:p>
    <w:p w14:paraId="1C06542D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LSR – 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Lokalna Strategia Rozwoju na lata 2014-2022,</w:t>
      </w:r>
    </w:p>
    <w:p w14:paraId="39D807F5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>Rada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Rada Programowa Stowarzyszenia,</w:t>
      </w:r>
    </w:p>
    <w:p w14:paraId="2FB61207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>Regulamin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Regulamin Pracy Rady,</w:t>
      </w:r>
    </w:p>
    <w:p w14:paraId="76DE7014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Zarząd 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– Zarząd Stowarzyszenia,</w:t>
      </w:r>
    </w:p>
    <w:p w14:paraId="4E7EB1CA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>Posiedzenie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Posiedzenie Rady,</w:t>
      </w:r>
    </w:p>
    <w:p w14:paraId="6D777C67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>Wnioskodawca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podmiot ubiegający się</w:t>
      </w: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 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o wybór operacji w ramach poddziałania „Wsparcie na wdrażanie operacji w ramach strategii rozwoju lokalnego kierowanego przez społeczność” objętego Programem Rozwoju Obszarów Wiejskich na lata 2014-2020,</w:t>
      </w:r>
    </w:p>
    <w:p w14:paraId="1BEC7C72" w14:textId="5F0DE155" w:rsidR="00475F09" w:rsidRPr="00475F09" w:rsidRDefault="00475F09" w:rsidP="00475F09">
      <w:pPr>
        <w:tabs>
          <w:tab w:val="left" w:pos="-4962"/>
        </w:tabs>
        <w:suppressAutoHyphens/>
        <w:autoSpaceDE w:val="0"/>
        <w:spacing w:after="20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Wytyczne 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– Wytyczne 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Ministra Rolnictwa i Rozwoju Wsi w zakresie jednolitego prawidłowego wykonywania przez lokalne grupy działania zadań związanych z realizacją strategii rozwoju lokalnego kierowa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nego przez społeczność w ramach działania „Wsparcie dla rozwoju lokalnego w ramach inicjatywy Leader” objętego PROW 2014-2020</w:t>
      </w:r>
      <w:r w:rsidR="00E108EC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oraz Wytyczne Ministra Rolnictwa i Rozwoju Wsi w zakresie niektórych zasad dokonywania wyboru operacji przez lokalne grupy działania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5A6EF329" w14:textId="77777777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2</w:t>
      </w:r>
    </w:p>
    <w:p w14:paraId="6D734C40" w14:textId="77777777" w:rsidR="00475F09" w:rsidRPr="00475F09" w:rsidRDefault="00475F09" w:rsidP="00475F0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Nabór wniosków o przyznanie pomocy na operacje w ramach wdrażania LSR, zwany dalej naborem, przeprowadza się w szczególności na podstawie przepisów:</w:t>
      </w:r>
    </w:p>
    <w:p w14:paraId="7B4123B7" w14:textId="77777777" w:rsidR="00475F09" w:rsidRPr="00475F09" w:rsidRDefault="00475F09" w:rsidP="00475F09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Ustawy z dnia 11 listopada 2014 r. o zasadach realizacji programów w zakresie polityki spójności finansowanych w perspektywie finansowej 2014-2020,</w:t>
      </w:r>
    </w:p>
    <w:p w14:paraId="0D04160D" w14:textId="77777777" w:rsidR="00475F09" w:rsidRPr="00475F09" w:rsidRDefault="00475F09" w:rsidP="00475F09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Ustawy z dnia 20 lutego 2015 r. o rozwoju lokalnym z udziałem lokalnej społeczności,</w:t>
      </w:r>
    </w:p>
    <w:p w14:paraId="70CE99DB" w14:textId="77777777" w:rsidR="00475F09" w:rsidRPr="00475F09" w:rsidRDefault="00475F09" w:rsidP="00475F09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 lata 2014 – 2020,</w:t>
      </w:r>
    </w:p>
    <w:p w14:paraId="40F15C0C" w14:textId="77777777" w:rsidR="00475F09" w:rsidRPr="00475F09" w:rsidRDefault="00475F09" w:rsidP="00475F09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postanowień niniejszej uchwały,</w:t>
      </w:r>
    </w:p>
    <w:p w14:paraId="06650B02" w14:textId="77777777" w:rsidR="00475F09" w:rsidRPr="00475F09" w:rsidRDefault="00475F09" w:rsidP="00475F09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wytycznych.</w:t>
      </w:r>
    </w:p>
    <w:p w14:paraId="6D640C9D" w14:textId="77777777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3</w:t>
      </w:r>
    </w:p>
    <w:p w14:paraId="3244C86A" w14:textId="63AAD317" w:rsidR="00475F09" w:rsidRPr="00475F09" w:rsidRDefault="00475F09" w:rsidP="00475F09">
      <w:pPr>
        <w:numPr>
          <w:ilvl w:val="0"/>
          <w:numId w:val="2"/>
        </w:numPr>
        <w:tabs>
          <w:tab w:val="clear" w:pos="0"/>
          <w:tab w:val="num" w:pos="-2977"/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Zarząd podejmuje uchwałę o przeprowadzeniu naboru 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zatwierdzającą </w:t>
      </w:r>
      <w:r w:rsidR="004F5351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r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egulamin naboru określający w szczególności:</w:t>
      </w:r>
    </w:p>
    <w:p w14:paraId="13C95B35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lastRenderedPageBreak/>
        <w:t>zakres tematyczny operacji,</w:t>
      </w:r>
    </w:p>
    <w:p w14:paraId="2EBCCBC8" w14:textId="77777777" w:rsidR="00475F09" w:rsidRPr="0071625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planowane do osiągnięcia cele i wskaźniki,</w:t>
      </w:r>
    </w:p>
    <w:p w14:paraId="1BE29518" w14:textId="0EB94106" w:rsidR="00475F09" w:rsidRPr="0071625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termin, miejsce i formę składania wniosków,</w:t>
      </w:r>
    </w:p>
    <w:p w14:paraId="5E7E8099" w14:textId="77777777" w:rsidR="00475F09" w:rsidRPr="0071625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formę wsparcia,</w:t>
      </w:r>
    </w:p>
    <w:p w14:paraId="36186757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wzór wniosku o udzielenie wsparcia,</w:t>
      </w:r>
    </w:p>
    <w:p w14:paraId="614154D0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wzór umowy o udzielenie wsparcia,</w:t>
      </w:r>
    </w:p>
    <w:p w14:paraId="225F9218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wzór wniosku o płatność,</w:t>
      </w:r>
    </w:p>
    <w:p w14:paraId="47747716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kryteria wyboru operacji wraz ze wskazaniem minimalnej liczby punktów, których uzyskanie jest warunkiem wyboru operacji, obowiązujące w całym naborze oraz przyjęte Uchwałą Zarządu,</w:t>
      </w:r>
    </w:p>
    <w:p w14:paraId="5A097510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informację o wymaganych dokumentach, potwierdzających spełnienie warunków udzielenia wsparcia oraz kryteriów wyboru operacji,</w:t>
      </w:r>
    </w:p>
    <w:p w14:paraId="37DCBA22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wskazanie wysokości limitu środków w ramach ogłoszonego naboru,</w:t>
      </w:r>
    </w:p>
    <w:p w14:paraId="29DD8398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informację o możliwości i sposobie złożenia protestu,</w:t>
      </w:r>
    </w:p>
    <w:p w14:paraId="320E1E82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sposób podania do publicznej wiadomości wyników naboru,</w:t>
      </w:r>
    </w:p>
    <w:p w14:paraId="62B53538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formę i sposób udzielania wnioskodawcy wyjaśnień w kwestiach dotyczących naboru.</w:t>
      </w:r>
    </w:p>
    <w:p w14:paraId="5CC796EF" w14:textId="28090D02" w:rsidR="00475F09" w:rsidRPr="00475F09" w:rsidRDefault="00475F09" w:rsidP="00475F09">
      <w:pPr>
        <w:numPr>
          <w:ilvl w:val="0"/>
          <w:numId w:val="2"/>
        </w:numPr>
        <w:tabs>
          <w:tab w:val="clear" w:pos="0"/>
          <w:tab w:val="num" w:pos="-2977"/>
          <w:tab w:val="left" w:pos="-2634"/>
          <w:tab w:val="left" w:pos="426"/>
        </w:tabs>
        <w:suppressAutoHyphens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W terminach wynikających z obowiązujących przepisów prawa oraz określonych 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w </w:t>
      </w:r>
      <w:r w:rsidR="004F5351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r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egulaminie naboru na stronie Internetowej Stowarzyszenia oraz na tablicy ogłoszeń w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 siedzibie Stowarzyszenia publikowana jest informacja o prowadzonym naborze wniosków zawierająca informacje wynikające z przepisów prawa.</w:t>
      </w:r>
    </w:p>
    <w:p w14:paraId="6FF636BF" w14:textId="77777777" w:rsidR="00475F09" w:rsidRPr="00475F09" w:rsidRDefault="00475F09" w:rsidP="00475F0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4</w:t>
      </w:r>
    </w:p>
    <w:p w14:paraId="539F3B1E" w14:textId="77777777" w:rsidR="00475F09" w:rsidRPr="00475F09" w:rsidRDefault="00475F09" w:rsidP="00475F09">
      <w:pPr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1EABBFF3" w14:textId="77777777" w:rsidR="00475F09" w:rsidRPr="00475F09" w:rsidRDefault="00475F09" w:rsidP="00475F09">
      <w:p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Do dnia poprzedzającego termin składania wniosków:</w:t>
      </w:r>
    </w:p>
    <w:p w14:paraId="2792E4A4" w14:textId="3120DAD1" w:rsidR="00475F09" w:rsidRPr="00475F09" w:rsidRDefault="00C84819" w:rsidP="00E36DC4">
      <w:p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C8481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- </w:t>
      </w:r>
      <w:r w:rsidR="00475F09" w:rsidRPr="00C84819">
        <w:rPr>
          <w:rFonts w:ascii="Times New Roman" w:eastAsia="Times New Roman" w:hAnsi="Times New Roman" w:cs="Calibri"/>
          <w:sz w:val="24"/>
          <w:szCs w:val="24"/>
          <w:lang w:bidi="en-US"/>
        </w:rPr>
        <w:t>świadczone</w:t>
      </w:r>
      <w:r w:rsidR="00475F09"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są nieodpłatne usługi doradcze</w:t>
      </w:r>
      <w:r>
        <w:rPr>
          <w:rFonts w:ascii="Times New Roman" w:eastAsia="Times New Roman" w:hAnsi="Times New Roman" w:cs="Calibri"/>
          <w:sz w:val="24"/>
          <w:szCs w:val="24"/>
          <w:lang w:bidi="en-US"/>
        </w:rPr>
        <w:t>,</w:t>
      </w:r>
    </w:p>
    <w:p w14:paraId="495A3534" w14:textId="77777777" w:rsidR="00475F09" w:rsidRPr="00475F09" w:rsidRDefault="00475F09" w:rsidP="00475F09">
      <w:pPr>
        <w:tabs>
          <w:tab w:val="left" w:pos="-2634"/>
          <w:tab w:val="left" w:pos="426"/>
        </w:tabs>
        <w:suppressAutoHyphens/>
        <w:spacing w:after="20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- dla potencjalnych wnioskodawców.</w:t>
      </w:r>
    </w:p>
    <w:p w14:paraId="24B7ECA0" w14:textId="77777777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5</w:t>
      </w:r>
    </w:p>
    <w:p w14:paraId="0D2B0286" w14:textId="320467D1" w:rsidR="00475F09" w:rsidRPr="00475F09" w:rsidRDefault="00475F09" w:rsidP="007162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trike/>
          <w:color w:val="FF0000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Posiedzenie Rady w sprawie dokonania wyboru operacji w ramach LSR zwoływane i przeprowadzane jest zgodnie z Regulaminem. </w:t>
      </w:r>
    </w:p>
    <w:p w14:paraId="460C75B8" w14:textId="77777777" w:rsidR="00475F09" w:rsidRPr="00475F09" w:rsidRDefault="00475F09" w:rsidP="00475F0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670CDFAB" w14:textId="77777777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6</w:t>
      </w:r>
    </w:p>
    <w:p w14:paraId="73ED9C6D" w14:textId="77777777" w:rsidR="00475F09" w:rsidRPr="00475F09" w:rsidRDefault="00475F09" w:rsidP="00475F09">
      <w:pPr>
        <w:numPr>
          <w:ilvl w:val="0"/>
          <w:numId w:val="1"/>
        </w:numPr>
        <w:tabs>
          <w:tab w:val="clear" w:pos="0"/>
          <w:tab w:val="num" w:pos="-3119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Każdy wniosek złożony w ramach prowadzonego naboru jest rejestrowany i otrzymuje indywidualny numer, który służy do jego identyfikacji w dalszym postępowaniu prowadzonym przez Stowarzyszenie. Numer wniosku składa się z trzech ciągów cyfr, z których pierwszy odpowiada – kolejnemu numerowi naboru przeprowadzanego w danym roku, drugi – rokowi w którym nabór został ogłoszony, trzeci – numerowi kolejnemu wniosku składanemu w danym naborze.</w:t>
      </w:r>
    </w:p>
    <w:p w14:paraId="7D9704B8" w14:textId="77777777" w:rsidR="00475F09" w:rsidRPr="00475F09" w:rsidRDefault="00475F09" w:rsidP="00475F09">
      <w:pPr>
        <w:numPr>
          <w:ilvl w:val="0"/>
          <w:numId w:val="1"/>
        </w:numPr>
        <w:tabs>
          <w:tab w:val="clear" w:pos="0"/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Biuro Stowarzyszenia potwierdza złożenie wniosku na jego kopii. Potwierdzenie zawiera datę jego złożenia, liczbę złożonych wraz z wnioskiem o przyznanie pomocy załączników, numer, o którym mowa powyżej, oraz opatrzone jest pieczęcią Stowarzyszenia i podpisem osoby przyjmującej wniosek.</w:t>
      </w:r>
    </w:p>
    <w:p w14:paraId="259D0241" w14:textId="77777777" w:rsidR="00475F09" w:rsidRPr="00475F09" w:rsidRDefault="00475F09" w:rsidP="00475F09">
      <w:pPr>
        <w:numPr>
          <w:ilvl w:val="0"/>
          <w:numId w:val="1"/>
        </w:numPr>
        <w:tabs>
          <w:tab w:val="clear" w:pos="0"/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Wnioskodawcy na każdym etapie wyboru operacji przysługuje prawo do wycofania wniosku o przyznanie pomocy lub innej deklaracji.</w:t>
      </w:r>
    </w:p>
    <w:p w14:paraId="136C3163" w14:textId="77777777" w:rsidR="00475F09" w:rsidRPr="00475F09" w:rsidRDefault="00475F09" w:rsidP="00475F09">
      <w:pPr>
        <w:numPr>
          <w:ilvl w:val="0"/>
          <w:numId w:val="1"/>
        </w:numPr>
        <w:tabs>
          <w:tab w:val="clear" w:pos="0"/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Wniosek o przyznanie pomocy skutecznie wycofany nie wywołuje żadnych skutków prawnych i nie podlega ocenie. Przez skuteczne wycofanie rozumiane jest pisemne zawiadomienie Stowarzyszenia o wycofaniu wniosku. Stowarzyszenie zachowuje kopię wycofanego wniosku o przyznanie pomocy wraz z zawiadomieniem o wycofaniu wniosku.</w:t>
      </w:r>
    </w:p>
    <w:p w14:paraId="38AF582A" w14:textId="787CE2AB" w:rsidR="00475F09" w:rsidRPr="00475F09" w:rsidRDefault="00475F09" w:rsidP="00475F09">
      <w:pPr>
        <w:numPr>
          <w:ilvl w:val="0"/>
          <w:numId w:val="1"/>
        </w:numPr>
        <w:tabs>
          <w:tab w:val="clear" w:pos="0"/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 xml:space="preserve">Złożony wniosek podlega </w:t>
      </w:r>
      <w:r w:rsidR="002D7A9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ocenie zgodności operacji z LSR w zakresie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:</w:t>
      </w:r>
    </w:p>
    <w:p w14:paraId="39D61BC0" w14:textId="77777777" w:rsidR="00475F09" w:rsidRPr="00475F09" w:rsidRDefault="00475F09" w:rsidP="00475F09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złożenia wniosku w miejscu i terminie wskazanym w ogłoszeniu o naborze,</w:t>
      </w:r>
    </w:p>
    <w:p w14:paraId="65F35C14" w14:textId="77777777" w:rsidR="00475F09" w:rsidRDefault="00475F09" w:rsidP="00475F09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 operacji z zakresem tematycznym, który został wskazany w ogłoszeniu o naborze,</w:t>
      </w:r>
    </w:p>
    <w:p w14:paraId="7B6A11E6" w14:textId="64A5FDED" w:rsidR="002D7A9D" w:rsidRPr="00716259" w:rsidRDefault="002D7A9D" w:rsidP="00475F09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realizacji przez operację celów głównych i szczegółowych LSR, przez osiągnięcie zaplanowanych w LSR wskaźników,</w:t>
      </w:r>
    </w:p>
    <w:p w14:paraId="56E3A870" w14:textId="0C0862EF" w:rsidR="002D7A9D" w:rsidRPr="00716259" w:rsidRDefault="002D7A9D" w:rsidP="00475F09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 operacji z PROW 2014-2020, w tym:</w:t>
      </w:r>
    </w:p>
    <w:p w14:paraId="6F0E8F5A" w14:textId="294FB042" w:rsidR="002D7A9D" w:rsidRPr="00716259" w:rsidRDefault="002D7A9D" w:rsidP="002D7A9D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 operacji z formą wsparcia wskazaną w ogłoszeniu o naborze,</w:t>
      </w:r>
    </w:p>
    <w:p w14:paraId="6504135B" w14:textId="52BC90A7" w:rsidR="002D7A9D" w:rsidRPr="00716259" w:rsidRDefault="002D7A9D" w:rsidP="002D7A9D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 z warunkami udzielenia wsparcia obowiązującymi w ramach naboru.</w:t>
      </w:r>
    </w:p>
    <w:p w14:paraId="2BE7ACE9" w14:textId="6A10A3C5" w:rsidR="00475F09" w:rsidRPr="00716259" w:rsidRDefault="002D7A9D" w:rsidP="002D7A9D">
      <w:pPr>
        <w:numPr>
          <w:ilvl w:val="0"/>
          <w:numId w:val="1"/>
        </w:numPr>
        <w:tabs>
          <w:tab w:val="clear" w:pos="0"/>
          <w:tab w:val="num" w:pos="-2410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</w:t>
      </w:r>
      <w:r w:rsidR="00475F09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cena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zgodności operacji z LSR</w:t>
      </w:r>
      <w:r w:rsidR="00475F09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, o której mowa powyżej, dokonywana jest przez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bezstronnego w ocenie </w:t>
      </w:r>
      <w:r w:rsidR="00475F09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pracownika Stowarzyszenia.</w:t>
      </w:r>
    </w:p>
    <w:p w14:paraId="44237E27" w14:textId="7485F4FC" w:rsidR="00F27679" w:rsidRPr="00716259" w:rsidRDefault="002D7A9D" w:rsidP="00993169">
      <w:pPr>
        <w:numPr>
          <w:ilvl w:val="0"/>
          <w:numId w:val="1"/>
        </w:numPr>
        <w:tabs>
          <w:tab w:val="clear" w:pos="0"/>
          <w:tab w:val="num" w:pos="-2410"/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Pracownik Stowarzyszenia przed przystąpieniem do oceny zgodności operacji z LSR,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  <w:t xml:space="preserve">o której mowa powyżej, wypełnia oświadczenie o bezstronności, stanowiące Załącznik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  <w:t>nr 2 do niniejszej procedury.</w:t>
      </w:r>
      <w:r w:rsidR="00993169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Przepis § 7 ust. 3 Regulaminu stosuje się odpowiednio</w:t>
      </w:r>
    </w:p>
    <w:p w14:paraId="71E11ED7" w14:textId="77777777" w:rsidR="00475F09" w:rsidRPr="00716259" w:rsidRDefault="00475F09" w:rsidP="00475F09">
      <w:pPr>
        <w:tabs>
          <w:tab w:val="left" w:pos="-4962"/>
          <w:tab w:val="left" w:pos="-48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</w:pPr>
      <w:r w:rsidRPr="00716259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§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7</w:t>
      </w:r>
    </w:p>
    <w:p w14:paraId="6926C58E" w14:textId="255AEDE9" w:rsidR="00993169" w:rsidRPr="00716259" w:rsidRDefault="00993169" w:rsidP="003361C7">
      <w:pPr>
        <w:tabs>
          <w:tab w:val="left" w:pos="-4962"/>
          <w:tab w:val="left" w:pos="-48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</w:pP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Jeżeli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w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trakcie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rozpatrywania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wniosku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o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przyznanie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pomocy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konieczne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jest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uzyskanie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wyjasnień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lub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dokumentów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niezbędnych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do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oceny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zgodnosci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operacji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z LSR,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wyboru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operacji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lub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ustalenia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kwoty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wsparcia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, LGD </w:t>
      </w:r>
      <w:proofErr w:type="spellStart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wzywa</w:t>
      </w:r>
      <w:proofErr w:type="spellEnd"/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wnioskodawcę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do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złożenia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tych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wyjasnień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lub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dokumentów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na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zasadach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określonych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w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obowi</w:t>
      </w:r>
      <w:r w:rsidR="00807A13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ą</w:t>
      </w:r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zuj</w:t>
      </w:r>
      <w:r w:rsidR="00807A13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ą</w:t>
      </w:r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cych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przepisach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prawa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oraz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</w:t>
      </w:r>
      <w:r w:rsidR="00807A13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w </w:t>
      </w:r>
      <w:proofErr w:type="spellStart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wytycznych</w:t>
      </w:r>
      <w:proofErr w:type="spellEnd"/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.</w:t>
      </w:r>
    </w:p>
    <w:p w14:paraId="46DEE686" w14:textId="77777777" w:rsidR="00475F09" w:rsidRPr="00716259" w:rsidRDefault="00475F09" w:rsidP="00475F09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 8</w:t>
      </w:r>
    </w:p>
    <w:p w14:paraId="703E73C0" w14:textId="77777777" w:rsidR="00475F09" w:rsidRPr="00716259" w:rsidRDefault="00475F09" w:rsidP="00475F09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Członkowie Rady, przystępując do procedury zobowiązani są złożyć pisemne lub za pośrednictwem elektronicznego – informatycznego systemu oświadczenie o przynależności do grup interesów.</w:t>
      </w:r>
    </w:p>
    <w:p w14:paraId="26EB7B1F" w14:textId="1B679AE7" w:rsidR="00475F09" w:rsidRPr="00716259" w:rsidRDefault="00475F09" w:rsidP="00475F09">
      <w:pPr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 podstawie złożonych oświadczeń o przynależności do grup interesu przygotowywany jest rejestr interesów członków Rady.</w:t>
      </w:r>
    </w:p>
    <w:p w14:paraId="32DF1D2B" w14:textId="77777777" w:rsidR="00475F09" w:rsidRPr="00475F09" w:rsidRDefault="00475F09" w:rsidP="00475F09">
      <w:pPr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Uchwałą Rady zatwierdzane są listy:</w:t>
      </w:r>
    </w:p>
    <w:p w14:paraId="346ECA59" w14:textId="70AE5DB1" w:rsidR="00475F09" w:rsidRPr="00716259" w:rsidRDefault="00475F09" w:rsidP="00475F09">
      <w:pPr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wniosków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niespełniających warunków określonych w § 6 ust. 5, które nie podlegają dalszej ocenie</w:t>
      </w:r>
      <w:r w:rsidR="00807A13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(</w:t>
      </w:r>
      <w:r w:rsidR="00C96D2E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lista operacji niezgodnych z LSR)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,</w:t>
      </w:r>
    </w:p>
    <w:p w14:paraId="19557600" w14:textId="6C4D3DF8" w:rsidR="00475F09" w:rsidRPr="00716259" w:rsidRDefault="00475F09" w:rsidP="00475F09">
      <w:pPr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spełniających warunki określone w § 6 ust. 5, które podlegają dalszej ocenie</w:t>
      </w:r>
      <w:r w:rsidR="00C96D2E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(lista operacji zgodnych z LSR)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7E9CA447" w14:textId="780D11F9" w:rsidR="00475F09" w:rsidRPr="00716259" w:rsidRDefault="00475F09" w:rsidP="00475F09">
      <w:pPr>
        <w:numPr>
          <w:ilvl w:val="0"/>
          <w:numId w:val="20"/>
        </w:numPr>
        <w:tabs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Wnioskodawcy pisemnie informowani są o wynikach oceny</w:t>
      </w:r>
      <w:r w:rsidR="00C96D2E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zgodności operacji z LSR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. </w:t>
      </w:r>
      <w:r w:rsidR="00C96D2E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przypadku operacji uznanych za zgodne z LSR, które podlegają dalszej ocenie,</w:t>
      </w:r>
      <w:r w:rsidR="00FC04BC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powyższa informacja umieszczana jest w piśmie o wyniku oceny, o którym mowa w </w:t>
      </w:r>
      <w:r w:rsidR="00FC04BC" w:rsidRPr="0071625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="00FC04BC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14. W przypadku operacji uznanych za niezgodne z LSR, które nie podlegają dalszej ocenie, powyższa informacja umieszczana jest w odrębnym piśmie, które wysłane lub przekazywane jest wnioskodawcy po zakończeniu oceny wszystkich operacji, o której mowa w  § 13.</w:t>
      </w:r>
    </w:p>
    <w:p w14:paraId="5A574688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9</w:t>
      </w:r>
    </w:p>
    <w:p w14:paraId="6139AA4B" w14:textId="1947BA26" w:rsidR="00475F09" w:rsidRPr="00475F09" w:rsidRDefault="00475F09" w:rsidP="00475F09">
      <w:pPr>
        <w:numPr>
          <w:ilvl w:val="0"/>
          <w:numId w:val="47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Członkowie Rady, przystępując do dalszej oceny, o której mowa w </w:t>
      </w: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§ 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8 ust. 3 l</w:t>
      </w:r>
      <w:r w:rsidR="00701DE5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it. b), zobowiązani są złożyć o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świadczenie o bezstronności w podejmowaniu decyzji, zgodne z postanowieniami Regulaminu.</w:t>
      </w:r>
    </w:p>
    <w:p w14:paraId="7C46E5BF" w14:textId="77777777" w:rsidR="00475F09" w:rsidRPr="00475F09" w:rsidRDefault="00475F09" w:rsidP="00475F09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 podstawie złożonych oświadczeń o bezstronności w podejmowaniu decyzji przygotowywana jest lista biorących udział w ocenie poszczególnych wniosków.</w:t>
      </w:r>
    </w:p>
    <w:p w14:paraId="46E8BCCF" w14:textId="77777777" w:rsidR="00475F09" w:rsidRPr="00475F09" w:rsidRDefault="00475F09" w:rsidP="00475F09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>Przy nazwisku członka Rady, który nie pozostaje bezstronny w ocenie, na liście, o której mowa w ust. 2, wpisuje się: wykluczony z oceny.</w:t>
      </w:r>
    </w:p>
    <w:p w14:paraId="69A024BE" w14:textId="77777777" w:rsidR="00475F09" w:rsidRPr="00475F09" w:rsidRDefault="00475F09" w:rsidP="00475F09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Członkowie Rady, którzy pozostają bezstronni, podpisują się na liście, o której mowa w ust. 2.</w:t>
      </w:r>
    </w:p>
    <w:p w14:paraId="3FAE7B2B" w14:textId="77777777" w:rsidR="00475F09" w:rsidRPr="00475F09" w:rsidRDefault="00475F09" w:rsidP="00475F09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Lista biorących udział w ocenie, przygotowana w sposób określony w ust. 3 i 4, stanowi załącznik do uchwały o wykluczeniu z oceny.</w:t>
      </w:r>
    </w:p>
    <w:p w14:paraId="23B7FAE9" w14:textId="77777777" w:rsidR="00475F09" w:rsidRPr="00475F09" w:rsidRDefault="00475F09" w:rsidP="00475F09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10</w:t>
      </w:r>
    </w:p>
    <w:p w14:paraId="642191C3" w14:textId="77777777" w:rsidR="00475F09" w:rsidRPr="00475F09" w:rsidRDefault="00475F09" w:rsidP="00475F09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Dalsza ocena wniosków, o której mowa w </w:t>
      </w:r>
      <w:r w:rsidRPr="00475F09">
        <w:rPr>
          <w:rFonts w:ascii="Times New Roman" w:eastAsia="Times New Roman" w:hAnsi="Times New Roman" w:cs="Times New Roman"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8 ust. 3 lit. b), powierzana jest trzem bezstronnym w ocenie członkom Rady.</w:t>
      </w:r>
    </w:p>
    <w:p w14:paraId="76E1CCDD" w14:textId="77777777" w:rsidR="00475F09" w:rsidRPr="00475F09" w:rsidRDefault="00475F09" w:rsidP="00475F09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Jeżeli którakolwiek z trzech ocen różni się o więcej niż 50% od średniej dla danego wniosku, obliczonej jako iloraz sumy trzech ocen dokonanych przez ww. członków Rady i liczby 3, jest ona odrzucana, a wniosek zostaje powierzony do oceny kolejnemu członkowi Rady, który spełnia warunek określony w ust. 1.</w:t>
      </w:r>
    </w:p>
    <w:p w14:paraId="4F7D311F" w14:textId="77777777" w:rsidR="00475F09" w:rsidRPr="00475F09" w:rsidRDefault="00475F09" w:rsidP="00475F09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Ocena kolejnego członka Rady, o której mowa w ust. 2, jest oceną ostateczną, bez względu czy różni się o więcej niż 50% od średniej dla danego wniosku obliczonej jak wskazano powyżej.</w:t>
      </w:r>
    </w:p>
    <w:p w14:paraId="10D24F67" w14:textId="77777777" w:rsidR="00475F09" w:rsidRPr="00716259" w:rsidRDefault="00475F09" w:rsidP="00475F09">
      <w:pPr>
        <w:tabs>
          <w:tab w:val="left" w:pos="426"/>
        </w:tabs>
        <w:suppressAutoHyphens/>
        <w:autoSpaceDE w:val="0"/>
        <w:spacing w:after="200" w:line="240" w:lineRule="auto"/>
        <w:ind w:left="425"/>
        <w:jc w:val="center"/>
        <w:rPr>
          <w:rFonts w:ascii="Times New Roman" w:eastAsia="Times New Roman" w:hAnsi="Times New Roman" w:cs="Calibri"/>
          <w:sz w:val="24"/>
          <w:szCs w:val="24"/>
          <w:lang w:val="en-US" w:bidi="en-US"/>
        </w:rPr>
      </w:pPr>
      <w:r w:rsidRPr="0071625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§</w:t>
      </w:r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11</w:t>
      </w:r>
    </w:p>
    <w:p w14:paraId="6F3CCD6D" w14:textId="77777777" w:rsidR="00475F09" w:rsidRPr="00716259" w:rsidRDefault="00475F09" w:rsidP="00475F09">
      <w:pPr>
        <w:numPr>
          <w:ilvl w:val="0"/>
          <w:numId w:val="34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val="en-US"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W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szczególnych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przypadkach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dalsza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ocena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oraz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rozpatrzenie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odwołania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,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może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zostać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powierzona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ekspertom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zewnętrznym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. </w:t>
      </w:r>
    </w:p>
    <w:p w14:paraId="0AA1B27B" w14:textId="77777777" w:rsidR="00475F09" w:rsidRPr="00716259" w:rsidRDefault="00475F09" w:rsidP="00475F09">
      <w:pPr>
        <w:numPr>
          <w:ilvl w:val="0"/>
          <w:numId w:val="34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val="en-US"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W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przypadku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, o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którym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mowa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powyżej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,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odpowiednio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zastosowanie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mają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przepisy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</w:t>
      </w:r>
      <w:r w:rsidRPr="0071625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§</w:t>
      </w:r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8 </w:t>
      </w:r>
      <w:proofErr w:type="spellStart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>i</w:t>
      </w:r>
      <w:proofErr w:type="spellEnd"/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9.</w:t>
      </w:r>
    </w:p>
    <w:p w14:paraId="7848D11A" w14:textId="77777777" w:rsidR="00475F09" w:rsidRPr="00475F09" w:rsidRDefault="00475F09" w:rsidP="00475F09">
      <w:pPr>
        <w:tabs>
          <w:tab w:val="left" w:pos="426"/>
        </w:tabs>
        <w:suppressAutoHyphens/>
        <w:autoSpaceDE w:val="0"/>
        <w:spacing w:after="200" w:line="240" w:lineRule="auto"/>
        <w:ind w:left="426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val="en-US" w:bidi="en-US"/>
        </w:rPr>
      </w:pPr>
    </w:p>
    <w:p w14:paraId="1C8ACA09" w14:textId="77777777" w:rsidR="00475F09" w:rsidRPr="00475F09" w:rsidRDefault="00475F09" w:rsidP="00475F09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12</w:t>
      </w:r>
    </w:p>
    <w:p w14:paraId="13756ADA" w14:textId="77777777" w:rsidR="00475F09" w:rsidRPr="00475F09" w:rsidRDefault="00475F09" w:rsidP="00475F09">
      <w:pPr>
        <w:numPr>
          <w:ilvl w:val="0"/>
          <w:numId w:val="22"/>
        </w:numPr>
        <w:tabs>
          <w:tab w:val="num" w:pos="-4820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Poszczególne wnioski rozpatrywane są w oddzielnych dyskusjach, w których uczestniczą osoby bezstronne wobec rozpatrywanego wniosku.</w:t>
      </w:r>
    </w:p>
    <w:p w14:paraId="1A90EDC9" w14:textId="77777777" w:rsidR="00475F09" w:rsidRPr="00475F09" w:rsidRDefault="00475F09" w:rsidP="00475F09">
      <w:pPr>
        <w:numPr>
          <w:ilvl w:val="0"/>
          <w:numId w:val="22"/>
        </w:numPr>
        <w:tabs>
          <w:tab w:val="num" w:pos="-4820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Dyskusje, o których mowa w ust. 1, moderowane są przez osobę bezstronną wobec rozpatrywanego wniosku.</w:t>
      </w:r>
    </w:p>
    <w:p w14:paraId="44FF0186" w14:textId="77777777" w:rsidR="00475F09" w:rsidRPr="00475F09" w:rsidRDefault="00475F09" w:rsidP="00475F09">
      <w:pPr>
        <w:numPr>
          <w:ilvl w:val="0"/>
          <w:numId w:val="22"/>
        </w:numPr>
        <w:tabs>
          <w:tab w:val="num" w:pos="-4962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Prowadzący dyskusję udziela głosu zgodnie z kolejnością zgłaszania się zainteresowanych.</w:t>
      </w:r>
    </w:p>
    <w:p w14:paraId="05EA52CA" w14:textId="77777777" w:rsidR="00475F09" w:rsidRPr="00475F09" w:rsidRDefault="00475F09" w:rsidP="00475F09">
      <w:pPr>
        <w:numPr>
          <w:ilvl w:val="0"/>
          <w:numId w:val="22"/>
        </w:numPr>
        <w:tabs>
          <w:tab w:val="num" w:pos="-4962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Czasu wypowiedzi poszczególnych osób pilnuje moderujący dyskusją, który ma prawo odebrania głosu w przypadku rażącego przekroczenia dopuszczalnego czasu.</w:t>
      </w:r>
    </w:p>
    <w:p w14:paraId="0976D273" w14:textId="77777777" w:rsidR="00475F09" w:rsidRPr="00475F09" w:rsidRDefault="00475F09" w:rsidP="00475F09">
      <w:pPr>
        <w:numPr>
          <w:ilvl w:val="0"/>
          <w:numId w:val="22"/>
        </w:numPr>
        <w:tabs>
          <w:tab w:val="num" w:pos="-4962"/>
          <w:tab w:val="left" w:pos="-4251"/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Dyskusję zamyka moderujący w momencie, gdy nikt z biorących w niej udział nie wniesie nowych znaczących faktów.</w:t>
      </w:r>
    </w:p>
    <w:p w14:paraId="2E7428B2" w14:textId="77777777" w:rsidR="00475F09" w:rsidRPr="00475F09" w:rsidRDefault="00475F09" w:rsidP="00475F09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394A00DE" w14:textId="77777777" w:rsidR="00475F09" w:rsidRPr="00475F09" w:rsidRDefault="00475F09" w:rsidP="00475F09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13</w:t>
      </w:r>
    </w:p>
    <w:p w14:paraId="67101412" w14:textId="45F3EE7A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Po zamknięciu dyskusji, członkowie Rady pozostający bezstronni wobec ocenianej operacji,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przechodzą do głosowania w sprawie oceny operacji wg lokalnych kryteriów wyboru</w:t>
      </w:r>
      <w:r w:rsidR="005E0E27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oraz podjęcia decyzji w sprawie wyboru/niewybrania operacji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6EDEE50E" w14:textId="77777777" w:rsid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Przyjęta przez Radę ocena punktowa stanowi średnią sumy punktów przyznanych przez każdego oceniającego członka 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Rady  lub eksperta zewnętrznego, o których mowa odpowiednio w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§ 10 ust. 1 i § 11, 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oddzielnie zgodnie z kryteriami wyboru wniosków określonymi dla danej kategorii.</w:t>
      </w:r>
    </w:p>
    <w:p w14:paraId="28CFB866" w14:textId="2EF91721" w:rsidR="005E0E27" w:rsidRPr="008B4C72" w:rsidRDefault="005E0E27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Calibri"/>
          <w:sz w:val="24"/>
          <w:szCs w:val="24"/>
          <w:lang w:bidi="en-US"/>
        </w:rPr>
        <w:t>Rada może przyznać w danym kryterium lub kryteriach inną liczbę punktów, niż wynika to z powyższej oceny, zgodnie z zakresami punktowymi obwiązującymi w tym kryterium lub kryteriach oraz przedstawiając stosowne uzasadnienie swojej decyzji.</w:t>
      </w:r>
    </w:p>
    <w:p w14:paraId="78064737" w14:textId="29938FE8" w:rsidR="00475F09" w:rsidRPr="0071625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trike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 xml:space="preserve">Ocena wniosku według kryteriów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wyboru operacji </w:t>
      </w:r>
      <w:r w:rsidR="005E0E27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oraz podjęcie decyzji w sprawie wyboru/niewybrania operacji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dokonywana jest przez Radę poprzez podjęcie stosownej Uchwały:</w:t>
      </w:r>
    </w:p>
    <w:p w14:paraId="23E6F002" w14:textId="6DCFC337" w:rsidR="00475F09" w:rsidRPr="00716259" w:rsidRDefault="00475F09" w:rsidP="00475F09">
      <w:pPr>
        <w:numPr>
          <w:ilvl w:val="0"/>
          <w:numId w:val="24"/>
        </w:numPr>
        <w:tabs>
          <w:tab w:val="left" w:pos="-3259"/>
          <w:tab w:val="left" w:pos="-1984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 podstawie kart ocen</w:t>
      </w:r>
      <w:r w:rsidR="005E0E27" w:rsidRPr="00716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E27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i/lub dodatkowego uzasadnienia Rady,</w:t>
      </w:r>
    </w:p>
    <w:p w14:paraId="6D924D46" w14:textId="745775A7" w:rsidR="00475F09" w:rsidRPr="00716259" w:rsidRDefault="00475F09" w:rsidP="00475F09">
      <w:pPr>
        <w:numPr>
          <w:ilvl w:val="0"/>
          <w:numId w:val="24"/>
        </w:numPr>
        <w:tabs>
          <w:tab w:val="left" w:pos="-3259"/>
          <w:tab w:val="left" w:pos="-1984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zgodnie z kryteriami wyboru operacji określonymi w uchwale </w:t>
      </w:r>
      <w:r w:rsidR="005E0E27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Zarządu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obowiązującymi dla danego naboru,</w:t>
      </w:r>
    </w:p>
    <w:p w14:paraId="20AB5A63" w14:textId="77777777" w:rsidR="00475F09" w:rsidRPr="00475F09" w:rsidRDefault="00475F09" w:rsidP="00475F09">
      <w:pPr>
        <w:numPr>
          <w:ilvl w:val="0"/>
          <w:numId w:val="24"/>
        </w:numPr>
        <w:tabs>
          <w:tab w:val="left" w:pos="-3259"/>
          <w:tab w:val="left" w:pos="-1984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terminie wynikającym z przepisów prawa.</w:t>
      </w:r>
    </w:p>
    <w:p w14:paraId="68B7476D" w14:textId="2C97C8CA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Rada podejmując </w:t>
      </w:r>
      <w:r w:rsidR="005E0E27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uchwałę, o której mowa powyżej, w przypadku wyboru operacji, 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określa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kwotę przyznanego dofinansowania, zgodnie z wytycznymi.</w:t>
      </w:r>
    </w:p>
    <w:p w14:paraId="5A3C1B07" w14:textId="77777777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 podstawie wyników oceny, o której mowa powyżej, tworzona jest lista operacji niewybranych oraz lista operacji wybranych ustalająca ich kolejność według:</w:t>
      </w:r>
    </w:p>
    <w:p w14:paraId="4EE5D41A" w14:textId="77777777" w:rsidR="00475F09" w:rsidRPr="00716259" w:rsidRDefault="00475F09" w:rsidP="00475F09">
      <w:pPr>
        <w:numPr>
          <w:ilvl w:val="0"/>
          <w:numId w:val="25"/>
        </w:numPr>
        <w:tabs>
          <w:tab w:val="left" w:pos="-3259"/>
          <w:tab w:val="left" w:pos="-2126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liczby przyznanych punktów,</w:t>
      </w:r>
    </w:p>
    <w:p w14:paraId="39FCE7FE" w14:textId="3EC451B3" w:rsidR="00475F09" w:rsidRPr="00716259" w:rsidRDefault="005E0E27" w:rsidP="00475F09">
      <w:pPr>
        <w:numPr>
          <w:ilvl w:val="0"/>
          <w:numId w:val="25"/>
        </w:numPr>
        <w:tabs>
          <w:tab w:val="left" w:pos="-3259"/>
          <w:tab w:val="left" w:pos="-2126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a </w:t>
      </w:r>
      <w:r w:rsidR="00475F09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w przypadku operacji, które uzyskają </w:t>
      </w:r>
      <w:r w:rsidR="0029192D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taką samą </w:t>
      </w:r>
      <w:r w:rsidR="00475F09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liczbę punków o kolejności na liście decyduje kolejność wpłynięcia wniosku.</w:t>
      </w:r>
    </w:p>
    <w:p w14:paraId="365CC9A6" w14:textId="77777777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Listy, o których mowa powyżej, zawierają w szczególności:</w:t>
      </w:r>
    </w:p>
    <w:p w14:paraId="20B0BEFF" w14:textId="77777777" w:rsidR="00475F09" w:rsidRPr="00475F09" w:rsidRDefault="00475F09" w:rsidP="00475F09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indywidualny numer wniosku,</w:t>
      </w:r>
    </w:p>
    <w:p w14:paraId="379C005F" w14:textId="77777777" w:rsidR="00475F09" w:rsidRPr="00475F09" w:rsidRDefault="00475F09" w:rsidP="00475F09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numer identyfikacyjny podmiotu ubiegającego się o wsparcie,</w:t>
      </w:r>
    </w:p>
    <w:p w14:paraId="76C71E24" w14:textId="77777777" w:rsidR="00475F09" w:rsidRPr="00475F09" w:rsidRDefault="00475F09" w:rsidP="00475F09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nazwę/imię i nazwisko podmiotu ubiegającego się o wsparcie,</w:t>
      </w:r>
    </w:p>
    <w:p w14:paraId="4FDC3EEB" w14:textId="77777777" w:rsidR="00475F09" w:rsidRPr="00475F09" w:rsidRDefault="00475F09" w:rsidP="00475F09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liczbę przyznanych punktów.</w:t>
      </w:r>
    </w:p>
    <w:p w14:paraId="4F669051" w14:textId="150865D2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Lista operacji wybranych, poza elementami określonymi w ust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. </w:t>
      </w:r>
      <w:r w:rsidR="005E0E27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7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zawiera ponadto:</w:t>
      </w:r>
    </w:p>
    <w:p w14:paraId="2CBB5030" w14:textId="77777777" w:rsidR="00475F09" w:rsidRPr="00475F09" w:rsidRDefault="00475F09" w:rsidP="00475F09">
      <w:pPr>
        <w:numPr>
          <w:ilvl w:val="0"/>
          <w:numId w:val="46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określenie, które wnioski mieszczą się w limicie środków w ramach ogłoszonego naboru,</w:t>
      </w:r>
    </w:p>
    <w:p w14:paraId="29001655" w14:textId="77777777" w:rsidR="00475F09" w:rsidRPr="00475F09" w:rsidRDefault="00475F09" w:rsidP="00475F09">
      <w:pPr>
        <w:numPr>
          <w:ilvl w:val="0"/>
          <w:numId w:val="46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ustaloną kwotę wsparcia zgodną z zapisami lokalnej strategii rozwoju i obowiązującymi przepisami prawa.</w:t>
      </w:r>
    </w:p>
    <w:p w14:paraId="03658D01" w14:textId="77777777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num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Na listę operacji niewybranych wpisywane są tylko te operacje, które w wyniku dalszej oceny, o której mowa w </w:t>
      </w: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8 ust 3 lit. b, nie spełniły warunków określonych w minimalnych wymaganiach stawianych wnioskom o przyznanie pomocy. </w:t>
      </w:r>
    </w:p>
    <w:p w14:paraId="69DF15D5" w14:textId="77777777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num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Pracownik Stowarzyszenia sprawuje nadzór nad przebiegiem oceny wniosków w zakresie zgodności naboru z przepisami ustawy i regulaminem naboru.</w:t>
      </w:r>
    </w:p>
    <w:p w14:paraId="2E558E9B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14</w:t>
      </w:r>
    </w:p>
    <w:p w14:paraId="234C9E50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Wnioskodawcom, w terminie i zakresie wynikającym z przepisów prawa przekazywana jest pisemna informacja o wynikach oceny wraz z uzasadnieniem zawierająca w szczególności:</w:t>
      </w:r>
    </w:p>
    <w:p w14:paraId="4D6219E9" w14:textId="77777777" w:rsidR="00475F09" w:rsidRPr="00475F09" w:rsidRDefault="00475F09" w:rsidP="00475F09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liczbę przyznanych punktów,</w:t>
      </w:r>
    </w:p>
    <w:p w14:paraId="4788D7FC" w14:textId="77777777" w:rsidR="00475F09" w:rsidRPr="00475F09" w:rsidRDefault="00475F09" w:rsidP="00475F09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ustaloną kwotę wsparcia zgodną z zapisami lokalnej strategii rozwoju i obowiązującymi przepisami prawa,</w:t>
      </w:r>
    </w:p>
    <w:p w14:paraId="67D2BE4E" w14:textId="77777777" w:rsidR="00475F09" w:rsidRPr="00475F09" w:rsidRDefault="00475F09" w:rsidP="00475F09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informację o prawie do wniesienia protestu w terminie i formie przewidzianej w obowiązujących przepisach prawa,</w:t>
      </w:r>
    </w:p>
    <w:p w14:paraId="1ADB956C" w14:textId="77777777" w:rsidR="00475F09" w:rsidRPr="00475F09" w:rsidRDefault="00475F09" w:rsidP="00475F09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odpowiednio listę operacji wybranych oraz listę operacji niewybranych.</w:t>
      </w:r>
    </w:p>
    <w:p w14:paraId="750016F7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15</w:t>
      </w:r>
    </w:p>
    <w:p w14:paraId="1F7DED8E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Niezwłocznie po dokonaniu oceny wniosków o wybór operacji na stronie Internetowej Stowarzyszenia publikowany jest Protokół z posiedzenia zawierający w szczególności:</w:t>
      </w:r>
    </w:p>
    <w:p w14:paraId="3D0F22C0" w14:textId="5D159F9C" w:rsidR="00475F09" w:rsidRPr="00475F09" w:rsidRDefault="00475F09" w:rsidP="00475F09">
      <w:pPr>
        <w:numPr>
          <w:ilvl w:val="0"/>
          <w:numId w:val="16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listy, o których mowa w </w:t>
      </w: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13 ust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. </w:t>
      </w:r>
      <w:r w:rsidR="0029192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6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oraz listy operacji, o których mowa w </w:t>
      </w: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8 ust. 3,</w:t>
      </w:r>
    </w:p>
    <w:p w14:paraId="08B4E224" w14:textId="77777777" w:rsidR="00475F09" w:rsidRPr="00475F09" w:rsidRDefault="00475F09" w:rsidP="00475F09">
      <w:pPr>
        <w:numPr>
          <w:ilvl w:val="0"/>
          <w:numId w:val="16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listę członków Rady biorących udział w ocenie,</w:t>
      </w:r>
    </w:p>
    <w:p w14:paraId="1E543002" w14:textId="77777777" w:rsidR="00475F09" w:rsidRPr="00475F09" w:rsidRDefault="00475F09" w:rsidP="00475F09">
      <w:pPr>
        <w:numPr>
          <w:ilvl w:val="0"/>
          <w:numId w:val="16"/>
        </w:numPr>
        <w:tabs>
          <w:tab w:val="left" w:pos="-4962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rejestr interesów członków Rady.</w:t>
      </w:r>
    </w:p>
    <w:p w14:paraId="1EC287A8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16</w:t>
      </w:r>
    </w:p>
    <w:p w14:paraId="27DB0416" w14:textId="77777777" w:rsidR="00475F09" w:rsidRPr="00475F09" w:rsidRDefault="00475F09" w:rsidP="00475F09">
      <w:pPr>
        <w:numPr>
          <w:ilvl w:val="0"/>
          <w:numId w:val="26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>W przypadku wpłynięcia protestu niezwłocznie przekazywana jest informacja Zarządowi Województwa Świętokrzyskiego o jego wniesieniu.</w:t>
      </w:r>
    </w:p>
    <w:p w14:paraId="1838817B" w14:textId="0C7F0CFB" w:rsidR="00475F09" w:rsidRPr="00716259" w:rsidRDefault="00475F09" w:rsidP="00475F09">
      <w:pPr>
        <w:numPr>
          <w:ilvl w:val="0"/>
          <w:numId w:val="26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Ponowna ocena wniosku, którego protest dotyczy, powierzana jest trzem bezstronnym członkom Rady, a w przypadku gdy protest dotyczy wyniku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oceny </w:t>
      </w:r>
      <w:r w:rsidR="0029192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 operacji z LSR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, o której mowa w </w:t>
      </w:r>
      <w:r w:rsidRPr="0071625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="0029192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6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ust. 5, ponowna ocena w tym zakresie powierzana jest pracownikowi biura LGD.</w:t>
      </w:r>
    </w:p>
    <w:p w14:paraId="482B589C" w14:textId="6707BFB6" w:rsidR="0029192D" w:rsidRPr="00716259" w:rsidRDefault="0029192D" w:rsidP="00475F09">
      <w:pPr>
        <w:numPr>
          <w:ilvl w:val="0"/>
          <w:numId w:val="26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Protest rozpatrywany jest zgodnie z obowiązującymi przepisami prawa.</w:t>
      </w:r>
    </w:p>
    <w:p w14:paraId="2F5284AE" w14:textId="77777777" w:rsidR="003B6855" w:rsidRDefault="003B6855" w:rsidP="003B6855">
      <w:pPr>
        <w:tabs>
          <w:tab w:val="left" w:pos="-4962"/>
        </w:tabs>
        <w:suppressAutoHyphens/>
        <w:autoSpaceDE w:val="0"/>
        <w:spacing w:after="0" w:line="240" w:lineRule="auto"/>
        <w:ind w:left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7FF7330A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17</w:t>
      </w:r>
    </w:p>
    <w:p w14:paraId="496DFD18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 wynikach rozpatrzenia protestu wnioskodawca informowany jest pisemnie w zakresie i terminie przewidzianym przepisami prawa.</w:t>
      </w:r>
    </w:p>
    <w:p w14:paraId="1B93624E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002F02FC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18</w:t>
      </w:r>
    </w:p>
    <w:p w14:paraId="26923D50" w14:textId="3C2D8010" w:rsidR="00475F09" w:rsidRPr="0071625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przypadku negatywnego rozpatrzenia pr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otestu</w:t>
      </w:r>
      <w:r w:rsidR="0029192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na etapie LGD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:</w:t>
      </w:r>
    </w:p>
    <w:p w14:paraId="5346EFA5" w14:textId="0121C192" w:rsidR="00475F09" w:rsidRPr="00475F09" w:rsidRDefault="00475F09" w:rsidP="00475F09">
      <w:pPr>
        <w:numPr>
          <w:ilvl w:val="0"/>
          <w:numId w:val="41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przekazywany jest on do </w:t>
      </w:r>
      <w:r w:rsidR="0029192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Zarządu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Województwa Świętokrzyskiego wraz z dokumentacją wymaganą przepisami prawa, o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czym niezwłocznie, pisemnie informowany jest wnioskodawca;</w:t>
      </w:r>
    </w:p>
    <w:p w14:paraId="63645D0A" w14:textId="77777777" w:rsidR="00475F09" w:rsidRPr="00475F09" w:rsidRDefault="00475F09" w:rsidP="00475F09">
      <w:pPr>
        <w:numPr>
          <w:ilvl w:val="0"/>
          <w:numId w:val="41"/>
        </w:numPr>
        <w:tabs>
          <w:tab w:val="left" w:pos="-4962"/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dalsze postępowanie zgodne jest z otrzymanym rozstrzygnięciem.</w:t>
      </w:r>
    </w:p>
    <w:p w14:paraId="1C522925" w14:textId="77777777" w:rsidR="00475F09" w:rsidRPr="00475F09" w:rsidRDefault="00475F09" w:rsidP="00475F09">
      <w:pPr>
        <w:tabs>
          <w:tab w:val="left" w:pos="-4962"/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19</w:t>
      </w:r>
    </w:p>
    <w:p w14:paraId="1701221F" w14:textId="77777777" w:rsidR="00475F09" w:rsidRPr="00475F09" w:rsidRDefault="00475F09" w:rsidP="00475F09">
      <w:pPr>
        <w:tabs>
          <w:tab w:val="left" w:pos="-4962"/>
          <w:tab w:val="left" w:pos="426"/>
        </w:tabs>
        <w:suppressAutoHyphens/>
        <w:autoSpaceDE w:val="0"/>
        <w:spacing w:after="20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terminie wynikającym z przepisów prawa Stowarzyszenie przekazuje Zarządowi Województwa Świętokrzyskiego wnioski o udzielenie wsparcia dotyczące wybranych operacji wraz z dokumentami potwierdzającymi dokonanie wyboru operacji.</w:t>
      </w:r>
    </w:p>
    <w:p w14:paraId="2186C326" w14:textId="77777777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20</w:t>
      </w:r>
    </w:p>
    <w:p w14:paraId="49F95202" w14:textId="6EDFC2A8" w:rsidR="00475F09" w:rsidRPr="008B4C72" w:rsidRDefault="00475F09" w:rsidP="00475F09">
      <w:pPr>
        <w:numPr>
          <w:ilvl w:val="0"/>
          <w:numId w:val="44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Wnioskodawcy, któremu Rada przyznała wsparcie na operację i który podpisał umowę na 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jej realizację z samorządem województwa, przysługuje prawo do zmiany ww. umowy </w:t>
      </w:r>
      <w:r w:rsidR="00837DE6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z zastrzeżeniem ust 2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14:paraId="1ADB0BFE" w14:textId="3B03D6BB" w:rsidR="003361C7" w:rsidRPr="008B4C72" w:rsidRDefault="003361C7" w:rsidP="003361C7">
      <w:pPr>
        <w:numPr>
          <w:ilvl w:val="0"/>
          <w:numId w:val="44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W przypadku zmiany, mogącej mieć wpływ na zgodność operacji z LSR lub ocenę operacji według kryteriów wyborów, warunkiem jej dokonania jest otrzymanie pozytywnej opinii LGD.</w:t>
      </w:r>
    </w:p>
    <w:p w14:paraId="426D89DB" w14:textId="77777777" w:rsidR="003361C7" w:rsidRPr="008B4C72" w:rsidRDefault="003361C7" w:rsidP="003361C7">
      <w:pPr>
        <w:numPr>
          <w:ilvl w:val="0"/>
          <w:numId w:val="44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Opinia LGD w powyższej sprawie:</w:t>
      </w:r>
    </w:p>
    <w:p w14:paraId="43795BEC" w14:textId="77777777" w:rsidR="003361C7" w:rsidRPr="008B4C72" w:rsidRDefault="003361C7" w:rsidP="003361C7">
      <w:pPr>
        <w:pStyle w:val="Akapitzlist"/>
        <w:numPr>
          <w:ilvl w:val="0"/>
          <w:numId w:val="50"/>
        </w:num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wydawana jest w formie uchwały Rady, w przypadku opinii dotyczącej kryteriów wyboru operacji lub w przypadku opinii dotyczącej zgodności operacji z LSR, jeżeli w ocenie pracownika Stowarzyszenia zmiana umowy skutkowałaby uznaniem operacji za niezgodną z LSR. </w:t>
      </w:r>
    </w:p>
    <w:p w14:paraId="536C5946" w14:textId="21C843BA" w:rsidR="003361C7" w:rsidRPr="008B4C72" w:rsidRDefault="003361C7" w:rsidP="003361C7">
      <w:pPr>
        <w:pStyle w:val="Akapitzlist"/>
        <w:numPr>
          <w:ilvl w:val="0"/>
          <w:numId w:val="50"/>
        </w:num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wydawana jest przez Przewodniczącego lub Wiceprzewodniczącego Rady, w przypadku opinii dotyczącej zgodności operacji z LSR, jeżeli w ocenie pracownika Stowarzyszenia zmiana umowy skutkowałaby uznaniem operacji za zgodną z LSR.</w:t>
      </w:r>
    </w:p>
    <w:p w14:paraId="3981FDB3" w14:textId="6BF927A9" w:rsidR="00475F09" w:rsidRPr="008B4C72" w:rsidRDefault="00475F09" w:rsidP="00475F09">
      <w:pPr>
        <w:numPr>
          <w:ilvl w:val="0"/>
          <w:numId w:val="44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Do wydania opinii, o której mowa powyżej, mają zastosowanie </w:t>
      </w:r>
      <w:r w:rsidR="003361C7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odpowiednio 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przepisy określone w § 7, </w:t>
      </w:r>
      <w:r w:rsidR="003361C7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§ 8 ust 1 i 2, 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§ </w:t>
      </w:r>
      <w:r w:rsidR="003361C7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9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-12 i § 13 ust. 1-</w:t>
      </w:r>
      <w:r w:rsidR="004F5351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5 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niniejszej uchwały.</w:t>
      </w:r>
    </w:p>
    <w:p w14:paraId="4AEE83E2" w14:textId="77777777" w:rsidR="00475F09" w:rsidRPr="008B4C72" w:rsidRDefault="00475F09" w:rsidP="00475F09">
      <w:pPr>
        <w:numPr>
          <w:ilvl w:val="0"/>
          <w:numId w:val="44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Pozytywna opinia Rady w sprawie zmiany operacji może być wydana</w:t>
      </w: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jeżeli operacja po 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zaproponowanych przez Wnioskodawcę zmianach:</w:t>
      </w:r>
    </w:p>
    <w:p w14:paraId="146BD86C" w14:textId="1EA4ACAA" w:rsidR="00475F09" w:rsidRPr="008B4C72" w:rsidRDefault="00475F09" w:rsidP="008B4C72">
      <w:pPr>
        <w:numPr>
          <w:ilvl w:val="0"/>
          <w:numId w:val="45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jest zgodna z LSR</w:t>
      </w:r>
      <w:r w:rsidR="008B4C72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</w:p>
    <w:p w14:paraId="085A6847" w14:textId="77777777" w:rsidR="00475F09" w:rsidRPr="00475F09" w:rsidRDefault="00475F09" w:rsidP="00475F09">
      <w:pPr>
        <w:numPr>
          <w:ilvl w:val="0"/>
          <w:numId w:val="45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spełnia minimum punktowe warunkujące wybór operacji,</w:t>
      </w:r>
    </w:p>
    <w:p w14:paraId="0F5F1262" w14:textId="77777777" w:rsidR="00475F09" w:rsidRPr="00475F09" w:rsidRDefault="00475F09" w:rsidP="00475F09">
      <w:pPr>
        <w:numPr>
          <w:ilvl w:val="0"/>
          <w:numId w:val="45"/>
        </w:numPr>
        <w:tabs>
          <w:tab w:val="left" w:pos="-4962"/>
          <w:tab w:val="left" w:pos="851"/>
        </w:tabs>
        <w:suppressAutoHyphens/>
        <w:autoSpaceDE w:val="0"/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mieści się w limicie środków podanym w ogłoszeniu o naborze.</w:t>
      </w:r>
    </w:p>
    <w:p w14:paraId="4D5101FB" w14:textId="373CD3E0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="008B4C72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21</w:t>
      </w:r>
    </w:p>
    <w:p w14:paraId="37C5E5DB" w14:textId="03F64609" w:rsidR="00475F09" w:rsidRPr="00475F09" w:rsidRDefault="00475F09" w:rsidP="00475F09">
      <w:pPr>
        <w:numPr>
          <w:ilvl w:val="0"/>
          <w:numId w:val="13"/>
        </w:numPr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 xml:space="preserve">Wzór karty weryfikacji formalnej wniosku o udzielenie wsparcia stanowi </w:t>
      </w:r>
      <w:r w:rsidRPr="00475F09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>Załącznik nr 1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do niniejszej </w:t>
      </w:r>
      <w:r w:rsidR="008B4C72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Procedury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3E0FDD13" w14:textId="2310FDC6" w:rsidR="00475F09" w:rsidRPr="00475F09" w:rsidRDefault="00475F09" w:rsidP="00475F09">
      <w:pPr>
        <w:numPr>
          <w:ilvl w:val="0"/>
          <w:numId w:val="13"/>
        </w:numPr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Wzór oświadczenia o bezstronności w podejmowaniu decyzji stanowi </w:t>
      </w:r>
      <w:r w:rsidRPr="00475F09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 xml:space="preserve">Załącznik nr 2 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do niniejszej </w:t>
      </w:r>
      <w:r w:rsidR="008B4C72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Procedur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y.</w:t>
      </w:r>
    </w:p>
    <w:p w14:paraId="01A0E591" w14:textId="1EB3F62A" w:rsidR="00475F09" w:rsidRPr="00475F09" w:rsidRDefault="00475F09" w:rsidP="00475F09">
      <w:pPr>
        <w:numPr>
          <w:ilvl w:val="0"/>
          <w:numId w:val="13"/>
        </w:numPr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Wzór karty oceny operacji stanowi </w:t>
      </w:r>
      <w:r w:rsidRPr="00475F09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 xml:space="preserve">Załącznik nr 3 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do niniejszej </w:t>
      </w:r>
      <w:r w:rsidR="008B4C72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Procedury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115866CE" w14:textId="77777777" w:rsidR="00065224" w:rsidRPr="00065224" w:rsidRDefault="00065224" w:rsidP="000652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bookmarkEnd w:id="0"/>
    <w:p w14:paraId="076CB1A0" w14:textId="77777777" w:rsidR="00065224" w:rsidRPr="00065224" w:rsidRDefault="00065224" w:rsidP="00065224">
      <w:pPr>
        <w:suppressAutoHyphens/>
        <w:spacing w:after="200" w:line="276" w:lineRule="auto"/>
        <w:rPr>
          <w:rFonts w:ascii="Calibri" w:eastAsia="Times New Roman" w:hAnsi="Calibri" w:cs="Calibri"/>
          <w:lang w:val="en-US" w:bidi="en-US"/>
        </w:rPr>
      </w:pPr>
    </w:p>
    <w:p w14:paraId="6FE6F0DC" w14:textId="77777777" w:rsidR="00E13D32" w:rsidRDefault="00E13D32"/>
    <w:sectPr w:rsidR="00E13D3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F6E0" w14:textId="77777777" w:rsidR="00022A8B" w:rsidRDefault="00022A8B" w:rsidP="00C35EA9">
      <w:pPr>
        <w:spacing w:after="0" w:line="240" w:lineRule="auto"/>
      </w:pPr>
      <w:r>
        <w:separator/>
      </w:r>
    </w:p>
  </w:endnote>
  <w:endnote w:type="continuationSeparator" w:id="0">
    <w:p w14:paraId="295F677B" w14:textId="77777777" w:rsidR="00022A8B" w:rsidRDefault="00022A8B" w:rsidP="00C3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113"/>
      <w:gridCol w:w="2809"/>
      <w:gridCol w:w="3149"/>
    </w:tblGrid>
    <w:tr w:rsidR="001E4751" w:rsidRPr="00AF459C" w14:paraId="1B760F9B" w14:textId="77777777" w:rsidTr="000B2381">
      <w:trPr>
        <w:jc w:val="center"/>
      </w:trPr>
      <w:tc>
        <w:tcPr>
          <w:tcW w:w="3185" w:type="dxa"/>
        </w:tcPr>
        <w:p w14:paraId="7D629E25" w14:textId="77777777" w:rsidR="001E4751" w:rsidRPr="00AF459C" w:rsidRDefault="00D942DF" w:rsidP="001E4751">
          <w:pPr>
            <w:pStyle w:val="Stopka"/>
            <w:rPr>
              <w:noProof/>
              <w:color w:val="008080"/>
              <w:sz w:val="20"/>
              <w:szCs w:val="20"/>
            </w:rPr>
          </w:pPr>
          <w:r>
            <w:rPr>
              <w:rFonts w:ascii="Arial" w:eastAsia="Microsoft Yi Baiti" w:hAnsi="Arial" w:cs="Arial"/>
              <w:sz w:val="17"/>
              <w:szCs w:val="17"/>
            </w:rPr>
            <w:t xml:space="preserve">                        </w:t>
          </w:r>
          <w:r w:rsidRPr="001E4751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6C5FD04" wp14:editId="34886AFB">
                <wp:extent cx="638175" cy="428625"/>
                <wp:effectExtent l="0" t="0" r="9525" b="9525"/>
                <wp:docPr id="3" name="Obraz 3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4B59E727" w14:textId="77777777" w:rsidR="001E4751" w:rsidRPr="00AF459C" w:rsidRDefault="00D942DF" w:rsidP="001E4751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 w:rsidRPr="001E4751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07CE191" wp14:editId="01E67556">
                <wp:extent cx="438150" cy="428625"/>
                <wp:effectExtent l="0" t="0" r="0" b="9525"/>
                <wp:docPr id="2" name="Obraz 2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5305AACB" w14:textId="77777777" w:rsidR="001E4751" w:rsidRPr="00AF459C" w:rsidRDefault="00D942DF" w:rsidP="001E4751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 w:rsidRPr="001E4751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13008E3" wp14:editId="2AD19920">
                <wp:extent cx="657225" cy="42862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416954" w14:textId="77777777" w:rsidR="001E4751" w:rsidRPr="001E4751" w:rsidRDefault="00D942DF" w:rsidP="001E4751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D2DC" w14:textId="77777777" w:rsidR="00022A8B" w:rsidRDefault="00022A8B" w:rsidP="00C35EA9">
      <w:pPr>
        <w:spacing w:after="0" w:line="240" w:lineRule="auto"/>
      </w:pPr>
      <w:r>
        <w:separator/>
      </w:r>
    </w:p>
  </w:footnote>
  <w:footnote w:type="continuationSeparator" w:id="0">
    <w:p w14:paraId="728AB435" w14:textId="77777777" w:rsidR="00022A8B" w:rsidRDefault="00022A8B" w:rsidP="00C3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E5D" w14:textId="77777777" w:rsidR="001E4751" w:rsidRPr="000D4BD7" w:rsidRDefault="00D942DF" w:rsidP="001E4751">
    <w:pPr>
      <w:widowControl w:val="0"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A62621" wp14:editId="12118FCA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0" t="0" r="9525" b="0"/>
          <wp:wrapSquare wrapText="bothSides"/>
          <wp:docPr id="4" name="Obraz 4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azem-na-szydłow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14:paraId="33FCE2EC" w14:textId="77777777" w:rsidR="001E4751" w:rsidRPr="000D4BD7" w:rsidRDefault="00D942DF" w:rsidP="001E4751">
    <w:pPr>
      <w:widowControl w:val="0"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</w:t>
    </w:r>
  </w:p>
  <w:p w14:paraId="079A491C" w14:textId="6F12340F" w:rsidR="001E4751" w:rsidRPr="000D4BD7" w:rsidRDefault="00D942DF" w:rsidP="001E4751">
    <w:pPr>
      <w:widowControl w:val="0"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="0071625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="0071625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Biuro:</w:t>
    </w:r>
    <w:r w:rsidR="0071625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ul. Kolejowa 36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, 26-500 Szydłowiec</w:t>
    </w:r>
  </w:p>
  <w:p w14:paraId="44F374B0" w14:textId="77777777" w:rsidR="001E4751" w:rsidRPr="000D4BD7" w:rsidRDefault="00D942DF" w:rsidP="001E4751">
    <w:pPr>
      <w:widowControl w:val="0"/>
      <w:spacing w:after="0" w:line="240" w:lineRule="auto"/>
      <w:ind w:left="708" w:firstLine="708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>
      <w:t xml:space="preserve">               </w:t>
    </w:r>
    <w:hyperlink r:id="rId2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14:paraId="4AD062A6" w14:textId="77777777" w:rsidR="001E4751" w:rsidRDefault="00022A8B" w:rsidP="001E4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15"/>
    <w:multiLevelType w:val="singleLevel"/>
    <w:tmpl w:val="63E811E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trike w:val="0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FA25E3"/>
    <w:multiLevelType w:val="hybridMultilevel"/>
    <w:tmpl w:val="73B8F0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1F9696A"/>
    <w:multiLevelType w:val="hybridMultilevel"/>
    <w:tmpl w:val="A8D8D6B0"/>
    <w:lvl w:ilvl="0" w:tplc="A0764C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4BE200D"/>
    <w:multiLevelType w:val="hybridMultilevel"/>
    <w:tmpl w:val="725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57771"/>
    <w:multiLevelType w:val="hybridMultilevel"/>
    <w:tmpl w:val="C66EE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E0B7C"/>
    <w:multiLevelType w:val="hybridMultilevel"/>
    <w:tmpl w:val="29180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509D"/>
    <w:multiLevelType w:val="hybridMultilevel"/>
    <w:tmpl w:val="A2447CB2"/>
    <w:lvl w:ilvl="0" w:tplc="3BEE9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2470B"/>
    <w:multiLevelType w:val="hybridMultilevel"/>
    <w:tmpl w:val="E08269D2"/>
    <w:lvl w:ilvl="0" w:tplc="1C36C06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CFB7133"/>
    <w:multiLevelType w:val="hybridMultilevel"/>
    <w:tmpl w:val="3F725012"/>
    <w:lvl w:ilvl="0" w:tplc="AAB4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D0F20"/>
    <w:multiLevelType w:val="hybridMultilevel"/>
    <w:tmpl w:val="578E5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51B7A"/>
    <w:multiLevelType w:val="hybridMultilevel"/>
    <w:tmpl w:val="BA74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82874"/>
    <w:multiLevelType w:val="hybridMultilevel"/>
    <w:tmpl w:val="A690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5DC4"/>
    <w:multiLevelType w:val="hybridMultilevel"/>
    <w:tmpl w:val="0576C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C3037"/>
    <w:multiLevelType w:val="hybridMultilevel"/>
    <w:tmpl w:val="DF7AD52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8096C22"/>
    <w:multiLevelType w:val="hybridMultilevel"/>
    <w:tmpl w:val="61BA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90AFE"/>
    <w:multiLevelType w:val="hybridMultilevel"/>
    <w:tmpl w:val="E1FCFBD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45378"/>
    <w:multiLevelType w:val="hybridMultilevel"/>
    <w:tmpl w:val="FAFAD1D8"/>
    <w:lvl w:ilvl="0" w:tplc="649E8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7868E9"/>
    <w:multiLevelType w:val="hybridMultilevel"/>
    <w:tmpl w:val="604E0212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D74513"/>
    <w:multiLevelType w:val="hybridMultilevel"/>
    <w:tmpl w:val="33B64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5592"/>
    <w:multiLevelType w:val="hybridMultilevel"/>
    <w:tmpl w:val="953A5906"/>
    <w:lvl w:ilvl="0" w:tplc="C33C534C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500B4E"/>
    <w:multiLevelType w:val="hybridMultilevel"/>
    <w:tmpl w:val="5EDC8890"/>
    <w:lvl w:ilvl="0" w:tplc="1A94E8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3A58BF"/>
    <w:multiLevelType w:val="hybridMultilevel"/>
    <w:tmpl w:val="DC3EE93A"/>
    <w:lvl w:ilvl="0" w:tplc="00004CAD">
      <w:start w:val="1"/>
      <w:numFmt w:val="bullet"/>
      <w:lvlText w:val="-"/>
      <w:lvlJc w:val="left"/>
      <w:pPr>
        <w:ind w:left="1571" w:hanging="360"/>
      </w:p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6A01E7F"/>
    <w:multiLevelType w:val="hybridMultilevel"/>
    <w:tmpl w:val="1ACC5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57629"/>
    <w:multiLevelType w:val="hybridMultilevel"/>
    <w:tmpl w:val="55B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D9E"/>
    <w:multiLevelType w:val="hybridMultilevel"/>
    <w:tmpl w:val="9D5E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7247A"/>
    <w:multiLevelType w:val="hybridMultilevel"/>
    <w:tmpl w:val="0C381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44456"/>
    <w:multiLevelType w:val="hybridMultilevel"/>
    <w:tmpl w:val="A56E0406"/>
    <w:lvl w:ilvl="0" w:tplc="F08CBB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8334C"/>
    <w:multiLevelType w:val="hybridMultilevel"/>
    <w:tmpl w:val="2F0A0272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0E69D2"/>
    <w:multiLevelType w:val="hybridMultilevel"/>
    <w:tmpl w:val="B8D424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7154CC"/>
    <w:multiLevelType w:val="hybridMultilevel"/>
    <w:tmpl w:val="D940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44732"/>
    <w:multiLevelType w:val="hybridMultilevel"/>
    <w:tmpl w:val="130C3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94E4E3B"/>
    <w:multiLevelType w:val="hybridMultilevel"/>
    <w:tmpl w:val="F8FA43B4"/>
    <w:lvl w:ilvl="0" w:tplc="6702476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0921D78"/>
    <w:multiLevelType w:val="hybridMultilevel"/>
    <w:tmpl w:val="4082511C"/>
    <w:lvl w:ilvl="0" w:tplc="D03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B2F85"/>
    <w:multiLevelType w:val="hybridMultilevel"/>
    <w:tmpl w:val="1826B344"/>
    <w:lvl w:ilvl="0" w:tplc="EB165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6D669B4"/>
    <w:multiLevelType w:val="hybridMultilevel"/>
    <w:tmpl w:val="DFD6AF44"/>
    <w:name w:val="WW8Num42"/>
    <w:lvl w:ilvl="0" w:tplc="F9EEBDA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A2D5E"/>
    <w:multiLevelType w:val="hybridMultilevel"/>
    <w:tmpl w:val="42AAD2F8"/>
    <w:lvl w:ilvl="0" w:tplc="2E388E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453866"/>
    <w:multiLevelType w:val="hybridMultilevel"/>
    <w:tmpl w:val="9A960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C2DCE"/>
    <w:multiLevelType w:val="hybridMultilevel"/>
    <w:tmpl w:val="BD12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A7FC1"/>
    <w:multiLevelType w:val="hybridMultilevel"/>
    <w:tmpl w:val="A472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30933"/>
    <w:multiLevelType w:val="hybridMultilevel"/>
    <w:tmpl w:val="FF703A40"/>
    <w:lvl w:ilvl="0" w:tplc="5B785FD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B5710D3"/>
    <w:multiLevelType w:val="hybridMultilevel"/>
    <w:tmpl w:val="59360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646EE"/>
    <w:multiLevelType w:val="hybridMultilevel"/>
    <w:tmpl w:val="DC3C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F34D2"/>
    <w:multiLevelType w:val="hybridMultilevel"/>
    <w:tmpl w:val="2830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8"/>
  </w:num>
  <w:num w:numId="5">
    <w:abstractNumId w:val="29"/>
  </w:num>
  <w:num w:numId="6">
    <w:abstractNumId w:val="22"/>
  </w:num>
  <w:num w:numId="7">
    <w:abstractNumId w:val="28"/>
  </w:num>
  <w:num w:numId="8">
    <w:abstractNumId w:val="14"/>
  </w:num>
  <w:num w:numId="9">
    <w:abstractNumId w:val="46"/>
  </w:num>
  <w:num w:numId="10">
    <w:abstractNumId w:val="32"/>
  </w:num>
  <w:num w:numId="11">
    <w:abstractNumId w:val="39"/>
  </w:num>
  <w:num w:numId="12">
    <w:abstractNumId w:val="37"/>
  </w:num>
  <w:num w:numId="13">
    <w:abstractNumId w:val="47"/>
  </w:num>
  <w:num w:numId="14">
    <w:abstractNumId w:val="40"/>
  </w:num>
  <w:num w:numId="15">
    <w:abstractNumId w:val="17"/>
  </w:num>
  <w:num w:numId="16">
    <w:abstractNumId w:val="8"/>
  </w:num>
  <w:num w:numId="17">
    <w:abstractNumId w:val="25"/>
  </w:num>
  <w:num w:numId="18">
    <w:abstractNumId w:val="15"/>
  </w:num>
  <w:num w:numId="19">
    <w:abstractNumId w:val="9"/>
  </w:num>
  <w:num w:numId="20">
    <w:abstractNumId w:val="2"/>
  </w:num>
  <w:num w:numId="21">
    <w:abstractNumId w:val="3"/>
  </w:num>
  <w:num w:numId="22">
    <w:abstractNumId w:val="4"/>
  </w:num>
  <w:num w:numId="23">
    <w:abstractNumId w:val="20"/>
  </w:num>
  <w:num w:numId="24">
    <w:abstractNumId w:val="35"/>
  </w:num>
  <w:num w:numId="25">
    <w:abstractNumId w:val="33"/>
  </w:num>
  <w:num w:numId="26">
    <w:abstractNumId w:val="12"/>
  </w:num>
  <w:num w:numId="27">
    <w:abstractNumId w:val="6"/>
  </w:num>
  <w:num w:numId="28">
    <w:abstractNumId w:val="16"/>
  </w:num>
  <w:num w:numId="29">
    <w:abstractNumId w:val="21"/>
  </w:num>
  <w:num w:numId="30">
    <w:abstractNumId w:val="11"/>
  </w:num>
  <w:num w:numId="31">
    <w:abstractNumId w:val="42"/>
  </w:num>
  <w:num w:numId="32">
    <w:abstractNumId w:val="23"/>
  </w:num>
  <w:num w:numId="33">
    <w:abstractNumId w:val="5"/>
  </w:num>
  <w:num w:numId="34">
    <w:abstractNumId w:val="7"/>
  </w:num>
  <w:num w:numId="35">
    <w:abstractNumId w:val="43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34"/>
  </w:num>
  <w:num w:numId="39">
    <w:abstractNumId w:val="31"/>
  </w:num>
  <w:num w:numId="40">
    <w:abstractNumId w:val="10"/>
  </w:num>
  <w:num w:numId="41">
    <w:abstractNumId w:val="27"/>
  </w:num>
  <w:num w:numId="42">
    <w:abstractNumId w:val="41"/>
  </w:num>
  <w:num w:numId="43">
    <w:abstractNumId w:val="44"/>
  </w:num>
  <w:num w:numId="44">
    <w:abstractNumId w:val="19"/>
  </w:num>
  <w:num w:numId="45">
    <w:abstractNumId w:val="24"/>
  </w:num>
  <w:num w:numId="46">
    <w:abstractNumId w:val="30"/>
  </w:num>
  <w:num w:numId="47">
    <w:abstractNumId w:val="2"/>
    <w:lvlOverride w:ilvl="0">
      <w:startOverride w:val="1"/>
    </w:lvlOverride>
  </w:num>
  <w:num w:numId="48">
    <w:abstractNumId w:val="26"/>
  </w:num>
  <w:num w:numId="49">
    <w:abstractNumId w:val="3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24"/>
    <w:rsid w:val="00022A8B"/>
    <w:rsid w:val="00055B7A"/>
    <w:rsid w:val="00065224"/>
    <w:rsid w:val="00200DBC"/>
    <w:rsid w:val="00290A31"/>
    <w:rsid w:val="0029192D"/>
    <w:rsid w:val="002C4399"/>
    <w:rsid w:val="002D6AF6"/>
    <w:rsid w:val="002D7A9D"/>
    <w:rsid w:val="003361C7"/>
    <w:rsid w:val="00383D5C"/>
    <w:rsid w:val="0038733E"/>
    <w:rsid w:val="003B656B"/>
    <w:rsid w:val="003B6855"/>
    <w:rsid w:val="00475F09"/>
    <w:rsid w:val="004B05D8"/>
    <w:rsid w:val="004F5351"/>
    <w:rsid w:val="005A2738"/>
    <w:rsid w:val="005D1A09"/>
    <w:rsid w:val="005E0E27"/>
    <w:rsid w:val="005F2BC8"/>
    <w:rsid w:val="00601ECA"/>
    <w:rsid w:val="006205AD"/>
    <w:rsid w:val="00680457"/>
    <w:rsid w:val="006945DA"/>
    <w:rsid w:val="00701DE5"/>
    <w:rsid w:val="00712708"/>
    <w:rsid w:val="00716259"/>
    <w:rsid w:val="007173AC"/>
    <w:rsid w:val="007A370E"/>
    <w:rsid w:val="007C33C2"/>
    <w:rsid w:val="007C72D0"/>
    <w:rsid w:val="007D18E7"/>
    <w:rsid w:val="007D5400"/>
    <w:rsid w:val="007E0EDB"/>
    <w:rsid w:val="00807A13"/>
    <w:rsid w:val="00837DE6"/>
    <w:rsid w:val="00884931"/>
    <w:rsid w:val="008A1E82"/>
    <w:rsid w:val="008B4C72"/>
    <w:rsid w:val="009130F3"/>
    <w:rsid w:val="00915F8B"/>
    <w:rsid w:val="009835F5"/>
    <w:rsid w:val="00983979"/>
    <w:rsid w:val="00991765"/>
    <w:rsid w:val="00991B61"/>
    <w:rsid w:val="00993169"/>
    <w:rsid w:val="009D2765"/>
    <w:rsid w:val="00A03BDB"/>
    <w:rsid w:val="00A70FA8"/>
    <w:rsid w:val="00B2462A"/>
    <w:rsid w:val="00B723D1"/>
    <w:rsid w:val="00C278F7"/>
    <w:rsid w:val="00C35EA9"/>
    <w:rsid w:val="00C478FB"/>
    <w:rsid w:val="00C84819"/>
    <w:rsid w:val="00C96D2E"/>
    <w:rsid w:val="00CC22FB"/>
    <w:rsid w:val="00CE759A"/>
    <w:rsid w:val="00D77BC8"/>
    <w:rsid w:val="00D82181"/>
    <w:rsid w:val="00D85C67"/>
    <w:rsid w:val="00D942DF"/>
    <w:rsid w:val="00DA3177"/>
    <w:rsid w:val="00DC26FC"/>
    <w:rsid w:val="00DC6140"/>
    <w:rsid w:val="00DD1C2A"/>
    <w:rsid w:val="00DE36A9"/>
    <w:rsid w:val="00E108EC"/>
    <w:rsid w:val="00E13D32"/>
    <w:rsid w:val="00E165BC"/>
    <w:rsid w:val="00E34C72"/>
    <w:rsid w:val="00E36DC4"/>
    <w:rsid w:val="00E7653D"/>
    <w:rsid w:val="00EE02C4"/>
    <w:rsid w:val="00F27679"/>
    <w:rsid w:val="00F52528"/>
    <w:rsid w:val="00F555C5"/>
    <w:rsid w:val="00FA1C48"/>
    <w:rsid w:val="00F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A8D7"/>
  <w15:chartTrackingRefBased/>
  <w15:docId w15:val="{E8502BC5-6494-4DD1-B369-21825AA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24"/>
  </w:style>
  <w:style w:type="paragraph" w:styleId="Stopka">
    <w:name w:val="footer"/>
    <w:basedOn w:val="Normalny"/>
    <w:link w:val="StopkaZnak"/>
    <w:uiPriority w:val="99"/>
    <w:unhideWhenUsed/>
    <w:rsid w:val="000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24"/>
  </w:style>
  <w:style w:type="paragraph" w:styleId="Akapitzlist">
    <w:name w:val="List Paragraph"/>
    <w:basedOn w:val="Normalny"/>
    <w:qFormat/>
    <w:rsid w:val="00913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Monika Szcześniak</cp:lastModifiedBy>
  <cp:revision>2</cp:revision>
  <cp:lastPrinted>2020-09-21T07:59:00Z</cp:lastPrinted>
  <dcterms:created xsi:type="dcterms:W3CDTF">2021-12-30T18:14:00Z</dcterms:created>
  <dcterms:modified xsi:type="dcterms:W3CDTF">2021-12-30T18:14:00Z</dcterms:modified>
</cp:coreProperties>
</file>